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549C" w14:textId="04B0433D" w:rsidR="00AD3D73" w:rsidRDefault="00AD3D73" w:rsidP="00BA17D0">
      <w:pPr>
        <w:jc w:val="center"/>
        <w:rPr>
          <w:rFonts w:cstheme="minorHAnsi"/>
          <w:b/>
        </w:rPr>
      </w:pPr>
    </w:p>
    <w:p w14:paraId="230A13E3" w14:textId="0168D149" w:rsidR="00AD3D73" w:rsidRDefault="00437FEE" w:rsidP="00BA17D0">
      <w:pPr>
        <w:jc w:val="center"/>
        <w:rPr>
          <w:rFonts w:cstheme="minorHAnsi"/>
          <w:b/>
        </w:rPr>
      </w:pPr>
      <w:r w:rsidRPr="00437FEE">
        <w:rPr>
          <w:rFonts w:cstheme="minorHAnsi"/>
          <w:b/>
          <w:noProof/>
        </w:rPr>
        <w:drawing>
          <wp:inline distT="0" distB="0" distL="0" distR="0" wp14:anchorId="2D319BDD" wp14:editId="6F8E8498">
            <wp:extent cx="4838700" cy="45622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5887" cy="45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BB8F" w14:textId="020C0C29" w:rsidR="00297D92" w:rsidRPr="00AD3D73" w:rsidRDefault="00297D92" w:rsidP="00BA17D0">
      <w:pPr>
        <w:jc w:val="center"/>
        <w:rPr>
          <w:rFonts w:cstheme="minorHAnsi"/>
          <w:b/>
        </w:rPr>
      </w:pPr>
    </w:p>
    <w:p w14:paraId="5AF6ABAB" w14:textId="08A5C052" w:rsidR="00297D92" w:rsidRPr="00692E5D" w:rsidRDefault="00692E5D" w:rsidP="00297D92">
      <w:pPr>
        <w:jc w:val="center"/>
        <w:rPr>
          <w:rFonts w:eastAsia="Times New Roman" w:cstheme="minorHAnsi"/>
          <w:b/>
          <w:sz w:val="28"/>
          <w:szCs w:val="28"/>
          <w:lang w:val="en-AU"/>
        </w:rPr>
      </w:pPr>
      <w:r w:rsidRPr="00692E5D">
        <w:rPr>
          <w:rFonts w:cstheme="minorHAnsi"/>
          <w:b/>
          <w:sz w:val="28"/>
          <w:szCs w:val="28"/>
        </w:rPr>
        <w:t>Job Description</w:t>
      </w:r>
      <w:r w:rsidR="00297D92" w:rsidRPr="00692E5D">
        <w:rPr>
          <w:rFonts w:cstheme="minorHAnsi"/>
          <w:b/>
          <w:sz w:val="28"/>
          <w:szCs w:val="28"/>
        </w:rPr>
        <w:t xml:space="preserve"> - </w:t>
      </w:r>
      <w:proofErr w:type="spellStart"/>
      <w:r w:rsidR="00A4407B">
        <w:rPr>
          <w:rFonts w:cstheme="minorHAnsi"/>
          <w:b/>
          <w:sz w:val="28"/>
          <w:szCs w:val="28"/>
        </w:rPr>
        <w:t>Ā</w:t>
      </w:r>
      <w:r w:rsidR="000C206B" w:rsidRPr="00692E5D">
        <w:rPr>
          <w:rFonts w:cstheme="minorHAnsi"/>
          <w:b/>
          <w:sz w:val="28"/>
          <w:szCs w:val="28"/>
        </w:rPr>
        <w:t>ti</w:t>
      </w:r>
      <w:r w:rsidR="0008738C" w:rsidRPr="00692E5D">
        <w:rPr>
          <w:rFonts w:cstheme="minorHAnsi"/>
          <w:b/>
          <w:sz w:val="28"/>
          <w:szCs w:val="28"/>
        </w:rPr>
        <w:t>awa</w:t>
      </w:r>
      <w:proofErr w:type="spellEnd"/>
      <w:r w:rsidR="000C206B" w:rsidRPr="00692E5D">
        <w:rPr>
          <w:rFonts w:cstheme="minorHAnsi"/>
          <w:b/>
          <w:sz w:val="28"/>
          <w:szCs w:val="28"/>
        </w:rPr>
        <w:t xml:space="preserve"> Toa Hauora Partnership Board</w:t>
      </w:r>
    </w:p>
    <w:p w14:paraId="275AAE3F" w14:textId="77777777" w:rsidR="00297D92" w:rsidRPr="00AD3D73" w:rsidRDefault="00297D92" w:rsidP="00297D92">
      <w:pPr>
        <w:pBdr>
          <w:bottom w:val="single" w:sz="12" w:space="1" w:color="auto"/>
        </w:pBdr>
        <w:rPr>
          <w:rFonts w:eastAsia="Times New Roman" w:cstheme="minorHAnsi"/>
          <w:b/>
          <w:lang w:val="en-AU"/>
        </w:rPr>
      </w:pPr>
    </w:p>
    <w:p w14:paraId="5CDB5C76" w14:textId="77777777" w:rsidR="00297D92" w:rsidRPr="00AD3D73" w:rsidRDefault="00297D92" w:rsidP="00297D92">
      <w:pPr>
        <w:rPr>
          <w:rFonts w:eastAsia="Times New Roman" w:cstheme="minorHAnsi"/>
          <w:b/>
          <w:lang w:val="en-A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68"/>
        <w:gridCol w:w="6840"/>
      </w:tblGrid>
      <w:tr w:rsidR="00297D92" w:rsidRPr="00AD3D73" w14:paraId="380E6D18" w14:textId="77777777" w:rsidTr="0054385F">
        <w:tc>
          <w:tcPr>
            <w:tcW w:w="2268" w:type="dxa"/>
            <w:vAlign w:val="center"/>
          </w:tcPr>
          <w:p w14:paraId="6676EFD5" w14:textId="77777777" w:rsidR="00297D92" w:rsidRPr="00692E5D" w:rsidRDefault="00297D92" w:rsidP="0054385F">
            <w:pPr>
              <w:spacing w:before="60" w:after="60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692E5D">
              <w:rPr>
                <w:rFonts w:cstheme="minorHAnsi"/>
                <w:b/>
                <w:sz w:val="24"/>
                <w:szCs w:val="24"/>
              </w:rPr>
              <w:t>Position Title:</w:t>
            </w:r>
          </w:p>
        </w:tc>
        <w:tc>
          <w:tcPr>
            <w:tcW w:w="6840" w:type="dxa"/>
            <w:vAlign w:val="center"/>
          </w:tcPr>
          <w:p w14:paraId="7BDBBDD4" w14:textId="184EDB84" w:rsidR="00297D92" w:rsidRPr="00692E5D" w:rsidRDefault="003870EE" w:rsidP="0054385F">
            <w:pPr>
              <w:spacing w:before="60" w:after="60"/>
              <w:rPr>
                <w:rFonts w:eastAsia="Times New Roman" w:cstheme="minorHAnsi"/>
                <w:bCs/>
                <w:sz w:val="24"/>
                <w:szCs w:val="24"/>
                <w:lang w:val="en-AU"/>
              </w:rPr>
            </w:pPr>
            <w:r w:rsidRPr="00692E5D">
              <w:rPr>
                <w:rFonts w:cstheme="minorHAnsi"/>
                <w:bCs/>
                <w:noProof/>
                <w:sz w:val="24"/>
                <w:szCs w:val="24"/>
              </w:rPr>
              <w:t>Board Member</w:t>
            </w:r>
          </w:p>
        </w:tc>
      </w:tr>
      <w:tr w:rsidR="00297D92" w:rsidRPr="00AD3D73" w14:paraId="7B406FA6" w14:textId="77777777" w:rsidTr="0054385F">
        <w:tc>
          <w:tcPr>
            <w:tcW w:w="2268" w:type="dxa"/>
            <w:vAlign w:val="center"/>
          </w:tcPr>
          <w:p w14:paraId="1C7C0DF5" w14:textId="77777777" w:rsidR="00297D92" w:rsidRPr="00692E5D" w:rsidRDefault="00297D92" w:rsidP="0054385F">
            <w:pPr>
              <w:spacing w:before="60" w:after="60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692E5D">
              <w:rPr>
                <w:rFonts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840" w:type="dxa"/>
            <w:vAlign w:val="center"/>
          </w:tcPr>
          <w:p w14:paraId="5E303A7B" w14:textId="5C06AFD8" w:rsidR="00297D92" w:rsidRPr="00692E5D" w:rsidRDefault="008C6C67" w:rsidP="0054385F">
            <w:pPr>
              <w:spacing w:before="60" w:after="60"/>
              <w:rPr>
                <w:rFonts w:eastAsia="Times New Roman" w:cstheme="minorHAnsi"/>
                <w:sz w:val="24"/>
                <w:szCs w:val="24"/>
                <w:lang w:val="en-A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AU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AU"/>
              </w:rPr>
              <w:t>Upoko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AU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AU"/>
              </w:rPr>
              <w:t>Ika</w:t>
            </w:r>
            <w:proofErr w:type="spellEnd"/>
          </w:p>
        </w:tc>
      </w:tr>
      <w:tr w:rsidR="00297D92" w:rsidRPr="00AD3D73" w14:paraId="0BAA097A" w14:textId="77777777" w:rsidTr="0054385F">
        <w:tc>
          <w:tcPr>
            <w:tcW w:w="2268" w:type="dxa"/>
            <w:vAlign w:val="center"/>
          </w:tcPr>
          <w:p w14:paraId="720833E1" w14:textId="02ECB5C3" w:rsidR="00297D92" w:rsidRPr="00692E5D" w:rsidRDefault="00D300D5" w:rsidP="0054385F">
            <w:pPr>
              <w:spacing w:before="60" w:after="60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</w:rPr>
              <w:t>Accountable</w:t>
            </w:r>
            <w:r w:rsidR="00297D92" w:rsidRPr="00692E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206B" w:rsidRPr="00692E5D">
              <w:rPr>
                <w:rFonts w:cstheme="minorHAnsi"/>
                <w:b/>
                <w:sz w:val="24"/>
                <w:szCs w:val="24"/>
              </w:rPr>
              <w:t>to</w:t>
            </w:r>
            <w:r w:rsidR="00297D92" w:rsidRPr="00692E5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14:paraId="0CDAA356" w14:textId="289B0771" w:rsidR="00297D92" w:rsidRDefault="00D300D5" w:rsidP="0054385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Iwi and </w:t>
            </w:r>
            <w:r w:rsidR="00E15A28">
              <w:rPr>
                <w:rFonts w:ascii="Arial" w:hAnsi="Arial" w:cs="Arial"/>
                <w:sz w:val="23"/>
                <w:szCs w:val="23"/>
              </w:rPr>
              <w:t>M</w:t>
            </w:r>
            <w:r w:rsidR="00A4407B">
              <w:rPr>
                <w:rFonts w:ascii="Arial" w:hAnsi="Arial" w:cs="Arial"/>
                <w:sz w:val="23"/>
                <w:szCs w:val="23"/>
              </w:rPr>
              <w:t>ā</w:t>
            </w:r>
            <w:r w:rsidR="00E15A28">
              <w:rPr>
                <w:rFonts w:ascii="Arial" w:hAnsi="Arial" w:cs="Arial"/>
                <w:sz w:val="23"/>
                <w:szCs w:val="23"/>
              </w:rPr>
              <w:t>ori communities</w:t>
            </w:r>
            <w:r>
              <w:rPr>
                <w:rFonts w:ascii="Arial" w:hAnsi="Arial" w:cs="Arial"/>
                <w:sz w:val="23"/>
                <w:szCs w:val="23"/>
              </w:rPr>
              <w:t xml:space="preserve"> within the </w:t>
            </w:r>
            <w:proofErr w:type="spellStart"/>
            <w:r w:rsidR="008C6C67">
              <w:rPr>
                <w:rFonts w:ascii="Arial" w:hAnsi="Arial" w:cs="Arial"/>
                <w:sz w:val="23"/>
                <w:szCs w:val="23"/>
              </w:rPr>
              <w:t>Te</w:t>
            </w:r>
            <w:proofErr w:type="spellEnd"/>
            <w:r w:rsidR="008C6C6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8C6C67">
              <w:rPr>
                <w:rFonts w:ascii="Arial" w:hAnsi="Arial" w:cs="Arial"/>
                <w:sz w:val="23"/>
                <w:szCs w:val="23"/>
              </w:rPr>
              <w:t>Upoko</w:t>
            </w:r>
            <w:proofErr w:type="spellEnd"/>
            <w:r w:rsidR="008C6C67">
              <w:rPr>
                <w:rFonts w:ascii="Arial" w:hAnsi="Arial" w:cs="Arial"/>
                <w:sz w:val="23"/>
                <w:szCs w:val="23"/>
              </w:rPr>
              <w:t xml:space="preserve"> o </w:t>
            </w:r>
            <w:proofErr w:type="spellStart"/>
            <w:r w:rsidR="008C6C67">
              <w:rPr>
                <w:rFonts w:ascii="Arial" w:hAnsi="Arial" w:cs="Arial"/>
                <w:sz w:val="23"/>
                <w:szCs w:val="23"/>
              </w:rPr>
              <w:t>te</w:t>
            </w:r>
            <w:proofErr w:type="spellEnd"/>
            <w:r w:rsidR="008C6C6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8C6C67">
              <w:rPr>
                <w:rFonts w:ascii="Arial" w:hAnsi="Arial" w:cs="Arial"/>
                <w:sz w:val="23"/>
                <w:szCs w:val="23"/>
              </w:rPr>
              <w:t>Ika</w:t>
            </w:r>
            <w:proofErr w:type="spellEnd"/>
          </w:p>
          <w:p w14:paraId="3FBB3341" w14:textId="0FAB5FBB" w:rsidR="008C6C67" w:rsidRPr="00692E5D" w:rsidRDefault="008C6C67" w:rsidP="0054385F">
            <w:pPr>
              <w:spacing w:before="60" w:after="60"/>
              <w:rPr>
                <w:rFonts w:eastAsia="Times New Roman" w:cstheme="minorHAnsi"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 xml:space="preserve">Rohe </w:t>
            </w:r>
          </w:p>
        </w:tc>
      </w:tr>
    </w:tbl>
    <w:p w14:paraId="0F362898" w14:textId="77777777" w:rsidR="00297D92" w:rsidRPr="00AD3D73" w:rsidRDefault="00297D92" w:rsidP="00297D92">
      <w:pPr>
        <w:rPr>
          <w:rFonts w:eastAsia="Times New Roman" w:cstheme="minorHAnsi"/>
          <w:lang w:val="en-AU"/>
        </w:rPr>
      </w:pPr>
    </w:p>
    <w:p w14:paraId="2BC01654" w14:textId="2407F832" w:rsidR="00297D92" w:rsidRPr="00692E5D" w:rsidRDefault="003870EE" w:rsidP="00297D92">
      <w:pPr>
        <w:pBdr>
          <w:bottom w:val="single" w:sz="12" w:space="1" w:color="auto"/>
        </w:pBdr>
        <w:jc w:val="both"/>
        <w:rPr>
          <w:rFonts w:eastAsia="Times New Roman" w:cstheme="minorHAnsi"/>
          <w:b/>
          <w:sz w:val="24"/>
          <w:szCs w:val="24"/>
          <w:lang w:val="en-AU"/>
        </w:rPr>
      </w:pPr>
      <w:r w:rsidRPr="00692E5D">
        <w:rPr>
          <w:rFonts w:eastAsia="Times New Roman" w:cstheme="minorHAnsi"/>
          <w:b/>
          <w:sz w:val="24"/>
          <w:szCs w:val="24"/>
          <w:lang w:val="en-AU"/>
        </w:rPr>
        <w:t>Background</w:t>
      </w:r>
    </w:p>
    <w:p w14:paraId="06EF5CF2" w14:textId="6D1BBFF3" w:rsidR="009C27A5" w:rsidRPr="00AD3D73" w:rsidRDefault="009C27A5" w:rsidP="002C1720">
      <w:pPr>
        <w:spacing w:line="360" w:lineRule="auto"/>
        <w:rPr>
          <w:rFonts w:cstheme="minorHAnsi"/>
        </w:rPr>
      </w:pPr>
      <w:r w:rsidRPr="00AD3D73">
        <w:rPr>
          <w:rFonts w:cstheme="minorHAnsi"/>
        </w:rPr>
        <w:t xml:space="preserve">On the 23 September </w:t>
      </w:r>
      <w:r w:rsidR="00AE2B78" w:rsidRPr="00AD3D73">
        <w:rPr>
          <w:rFonts w:cstheme="minorHAnsi"/>
        </w:rPr>
        <w:t>2021 the Minister of Health announced the membership of the interim M</w:t>
      </w:r>
      <w:r w:rsidR="00A4407B">
        <w:rPr>
          <w:rFonts w:cstheme="minorHAnsi"/>
        </w:rPr>
        <w:t>ā</w:t>
      </w:r>
      <w:r w:rsidR="00AE2B78" w:rsidRPr="00AD3D73">
        <w:rPr>
          <w:rFonts w:cstheme="minorHAnsi"/>
        </w:rPr>
        <w:t xml:space="preserve">ori Health Authority and  </w:t>
      </w:r>
      <w:r w:rsidR="009D0E04" w:rsidRPr="00AD3D73">
        <w:rPr>
          <w:rFonts w:cstheme="minorHAnsi"/>
        </w:rPr>
        <w:t xml:space="preserve">Health New Zealand </w:t>
      </w:r>
      <w:r w:rsidR="00AE2B78" w:rsidRPr="00AD3D73">
        <w:rPr>
          <w:rFonts w:cstheme="minorHAnsi"/>
        </w:rPr>
        <w:t xml:space="preserve">as part of the Labour government’s health sector reform agenda.  </w:t>
      </w:r>
    </w:p>
    <w:p w14:paraId="35C8194C" w14:textId="57711D1C" w:rsidR="009D0E04" w:rsidRPr="00AD3D73" w:rsidRDefault="009D0E04" w:rsidP="002C1720">
      <w:pPr>
        <w:spacing w:after="0" w:line="360" w:lineRule="auto"/>
        <w:rPr>
          <w:rFonts w:eastAsia="Times New Roman" w:cstheme="minorHAnsi"/>
          <w:color w:val="202020"/>
          <w:shd w:val="clear" w:color="auto" w:fill="FFFFFF"/>
          <w:lang w:eastAsia="en-GB"/>
        </w:rPr>
      </w:pPr>
      <w:r w:rsidRPr="009D0E04">
        <w:rPr>
          <w:rFonts w:eastAsia="Times New Roman" w:cstheme="minorHAnsi"/>
          <w:color w:val="202020"/>
          <w:shd w:val="clear" w:color="auto" w:fill="FFFFFF"/>
          <w:lang w:eastAsia="en-GB"/>
        </w:rPr>
        <w:t>The Pae Ora (Healthy Futures) Bill sets the context for a system that works for everyone, no matter who they are or where they live.</w:t>
      </w:r>
      <w:r w:rsidRPr="00AD3D73">
        <w:rPr>
          <w:rFonts w:eastAsia="Times New Roman" w:cstheme="minorHAnsi"/>
          <w:color w:val="202020"/>
          <w:shd w:val="clear" w:color="auto" w:fill="FFFFFF"/>
          <w:lang w:eastAsia="en-GB"/>
        </w:rPr>
        <w:t xml:space="preserve">  The Bill </w:t>
      </w:r>
      <w:r w:rsidR="001F4BA7" w:rsidRPr="00AD3D73">
        <w:rPr>
          <w:rFonts w:eastAsia="Times New Roman" w:cstheme="minorHAnsi"/>
          <w:color w:val="202020"/>
          <w:shd w:val="clear" w:color="auto" w:fill="FFFFFF"/>
          <w:lang w:eastAsia="en-GB"/>
        </w:rPr>
        <w:t>will enable</w:t>
      </w:r>
      <w:r w:rsidRPr="00AD3D73">
        <w:rPr>
          <w:rFonts w:eastAsia="Times New Roman" w:cstheme="minorHAnsi"/>
          <w:color w:val="202020"/>
          <w:shd w:val="clear" w:color="auto" w:fill="FFFFFF"/>
          <w:lang w:eastAsia="en-GB"/>
        </w:rPr>
        <w:t xml:space="preserve"> the two entities to become permanent once the reformed health system comes into effect on 1 July 2022.</w:t>
      </w:r>
    </w:p>
    <w:p w14:paraId="2409FFCD" w14:textId="77777777" w:rsidR="009D0E04" w:rsidRPr="00AD3D73" w:rsidRDefault="009D0E04" w:rsidP="002C1720">
      <w:pPr>
        <w:spacing w:after="0" w:line="360" w:lineRule="auto"/>
        <w:rPr>
          <w:rFonts w:eastAsia="Times New Roman" w:cstheme="minorHAnsi"/>
          <w:color w:val="202020"/>
          <w:shd w:val="clear" w:color="auto" w:fill="FFFFFF"/>
          <w:lang w:eastAsia="en-GB"/>
        </w:rPr>
      </w:pPr>
    </w:p>
    <w:p w14:paraId="183DE78F" w14:textId="77777777" w:rsidR="0094072D" w:rsidRPr="00AD3D73" w:rsidRDefault="009D0E04" w:rsidP="002C1720">
      <w:pPr>
        <w:spacing w:line="360" w:lineRule="auto"/>
        <w:rPr>
          <w:rFonts w:eastAsia="Times New Roman" w:cstheme="minorHAnsi"/>
          <w:color w:val="202020"/>
          <w:shd w:val="clear" w:color="auto" w:fill="FFFFFF"/>
          <w:lang w:eastAsia="en-GB"/>
        </w:rPr>
      </w:pPr>
      <w:r w:rsidRPr="009D0E04">
        <w:rPr>
          <w:rFonts w:eastAsia="Times New Roman" w:cstheme="minorHAnsi"/>
          <w:color w:val="202020"/>
          <w:shd w:val="clear" w:color="auto" w:fill="FFFFFF"/>
          <w:lang w:eastAsia="en-GB"/>
        </w:rPr>
        <w:t>The Bill also recognises the important role of Iwi-Māori Partnership Boards and Māori exercising tino rangatiratanga and mana motuhake when it comes to planning and decision-making for health services at a local level. </w:t>
      </w:r>
    </w:p>
    <w:p w14:paraId="6BD4E73C" w14:textId="4D2B9270" w:rsidR="002C1720" w:rsidRDefault="0094072D" w:rsidP="002C1720">
      <w:pPr>
        <w:spacing w:line="360" w:lineRule="auto"/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</w:pPr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“The M</w:t>
      </w:r>
      <w:r w:rsidR="00A4407B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ā</w:t>
      </w:r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ori Health Authority and Iwi M</w:t>
      </w:r>
      <w:r w:rsidR="00A4407B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ā</w:t>
      </w:r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 xml:space="preserve">ori Partnership Boards represent a new way of working to shape the future health system.  Our collective challenge is to influence the new system in a way that sustains change, achieves equity of outcomes, and elevates the voice of </w:t>
      </w:r>
      <w:proofErr w:type="spellStart"/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wh</w:t>
      </w:r>
      <w:r w:rsidR="00A4407B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ā</w:t>
      </w:r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nau</w:t>
      </w:r>
      <w:proofErr w:type="spellEnd"/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 xml:space="preserve"> to be direction-setters not just service users”.  Sharon Shea, Co-Chair of the interim M</w:t>
      </w:r>
      <w:r w:rsidR="00A4407B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ā</w:t>
      </w:r>
      <w:r w:rsidRPr="00AD3D73"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  <w:t>ori Health Authority Board.</w:t>
      </w:r>
    </w:p>
    <w:p w14:paraId="6361E590" w14:textId="77777777" w:rsidR="002C1720" w:rsidRDefault="002C1720" w:rsidP="002C1720">
      <w:pPr>
        <w:spacing w:line="360" w:lineRule="auto"/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</w:pPr>
    </w:p>
    <w:p w14:paraId="3C29C917" w14:textId="77777777" w:rsidR="002C1720" w:rsidRDefault="002C1720" w:rsidP="002C1720">
      <w:pPr>
        <w:spacing w:line="360" w:lineRule="auto"/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</w:pPr>
    </w:p>
    <w:p w14:paraId="03A517E0" w14:textId="3DB0A153" w:rsidR="00D300D5" w:rsidRPr="002C1720" w:rsidRDefault="00D300D5" w:rsidP="002C1720">
      <w:pPr>
        <w:spacing w:line="360" w:lineRule="auto"/>
        <w:rPr>
          <w:rFonts w:eastAsia="Times New Roman" w:cstheme="minorHAnsi"/>
          <w:i/>
          <w:iCs/>
          <w:color w:val="202020"/>
          <w:shd w:val="clear" w:color="auto" w:fill="FFFFFF"/>
          <w:lang w:eastAsia="en-GB"/>
        </w:rPr>
      </w:pPr>
      <w:r>
        <w:rPr>
          <w:rFonts w:cstheme="minorHAnsi"/>
          <w:b/>
          <w:sz w:val="24"/>
          <w:szCs w:val="24"/>
        </w:rPr>
        <w:lastRenderedPageBreak/>
        <w:t>Characteristics of the Iwi Maori Partnership Boards</w:t>
      </w:r>
    </w:p>
    <w:p w14:paraId="43106081" w14:textId="3EA7C4DF" w:rsidR="00E60B9D" w:rsidRPr="008B174B" w:rsidRDefault="00D300D5" w:rsidP="00DC2E4A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  <w:r w:rsidRPr="008B174B">
        <w:rPr>
          <w:rFonts w:asciiTheme="minorHAnsi" w:hAnsiTheme="minorHAnsi" w:cstheme="minorHAnsi"/>
          <w:color w:val="202020"/>
          <w:sz w:val="22"/>
          <w:szCs w:val="22"/>
        </w:rPr>
        <w:t>Th</w:t>
      </w:r>
      <w:r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ey do not report to the Crown – they are accountable to Iwi and </w:t>
      </w:r>
      <w:proofErr w:type="spellStart"/>
      <w:r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h</w:t>
      </w:r>
      <w:r w:rsidR="00E15A28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a</w:t>
      </w:r>
      <w:r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pori</w:t>
      </w:r>
      <w:proofErr w:type="spellEnd"/>
      <w:r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M</w:t>
      </w:r>
      <w:r w:rsidR="00A4407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ā</w:t>
      </w:r>
      <w:r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ori within their respective coverage area</w:t>
      </w:r>
      <w:r w:rsidR="0071664A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s.  </w:t>
      </w:r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The </w:t>
      </w:r>
      <w:proofErr w:type="spellStart"/>
      <w:r w:rsidR="00A4407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Ā</w:t>
      </w:r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tiawa</w:t>
      </w:r>
      <w:proofErr w:type="spellEnd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Toa Hauora Partnership Board is inclusive of </w:t>
      </w:r>
      <w:proofErr w:type="spellStart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Te</w:t>
      </w:r>
      <w:proofErr w:type="spellEnd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Upoko</w:t>
      </w:r>
      <w:proofErr w:type="spellEnd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o </w:t>
      </w:r>
      <w:proofErr w:type="spellStart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te</w:t>
      </w:r>
      <w:proofErr w:type="spellEnd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Ika</w:t>
      </w:r>
      <w:proofErr w:type="spellEnd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which extends from the </w:t>
      </w:r>
      <w:proofErr w:type="spellStart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K</w:t>
      </w:r>
      <w:r w:rsidR="00A4407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ā</w:t>
      </w:r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piti</w:t>
      </w:r>
      <w:proofErr w:type="spellEnd"/>
      <w:r w:rsidR="008C6C67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Coast, Porirua, the Hutt Valley to Wellington</w:t>
      </w:r>
      <w:r w:rsidR="004A6659" w:rsidRPr="008B174B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. </w:t>
      </w:r>
    </w:p>
    <w:p w14:paraId="1888022C" w14:textId="34C81831" w:rsidR="00E60B9D" w:rsidRPr="008B174B" w:rsidRDefault="00E60B9D" w:rsidP="0018537D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</w:p>
    <w:p w14:paraId="16DBD6C8" w14:textId="573EF136" w:rsidR="00D300D5" w:rsidRPr="00414CE7" w:rsidRDefault="00414CE7" w:rsidP="00414CE7">
      <w:pPr>
        <w:spacing w:line="360" w:lineRule="auto"/>
        <w:rPr>
          <w:rFonts w:eastAsia="Times New Roman" w:cstheme="minorHAnsi"/>
          <w:color w:val="202020"/>
          <w:shd w:val="clear" w:color="auto" w:fill="FFFFFF"/>
          <w:lang w:eastAsia="en-GB"/>
        </w:rPr>
      </w:pPr>
      <w:r>
        <w:rPr>
          <w:rFonts w:eastAsia="Times New Roman" w:cstheme="minorHAnsi"/>
          <w:color w:val="202020"/>
          <w:shd w:val="clear" w:color="auto" w:fill="FFFFFF"/>
          <w:lang w:eastAsia="en-GB"/>
        </w:rPr>
        <w:t>The Board will</w:t>
      </w:r>
      <w:r w:rsidR="00D300D5" w:rsidRPr="00414CE7">
        <w:rPr>
          <w:rFonts w:eastAsia="Times New Roman" w:cstheme="minorHAnsi"/>
          <w:color w:val="202020"/>
          <w:shd w:val="clear" w:color="auto" w:fill="FFFFFF"/>
          <w:lang w:eastAsia="en-GB"/>
        </w:rPr>
        <w:t xml:space="preserve"> operate predominantly at the locality level of the health system but will also have a role at the regional and national level. The locality layer of the system is where tino rangatiratanga and mana motuhake are most emphasised.</w:t>
      </w:r>
    </w:p>
    <w:p w14:paraId="0383AA82" w14:textId="34316D60" w:rsidR="00D300D5" w:rsidRPr="00D300D5" w:rsidRDefault="00414CE7" w:rsidP="00414CE7">
      <w:pPr>
        <w:spacing w:line="360" w:lineRule="auto"/>
        <w:rPr>
          <w:rFonts w:eastAsia="Times New Roman" w:cstheme="minorHAnsi"/>
          <w:color w:val="202020"/>
          <w:shd w:val="clear" w:color="auto" w:fill="FFFFFF"/>
          <w:lang w:eastAsia="en-GB"/>
        </w:rPr>
      </w:pPr>
      <w:r>
        <w:rPr>
          <w:rFonts w:eastAsia="Times New Roman" w:cstheme="minorHAnsi"/>
          <w:color w:val="202020"/>
          <w:shd w:val="clear" w:color="auto" w:fill="FFFFFF"/>
          <w:lang w:eastAsia="en-GB"/>
        </w:rPr>
        <w:t>The Board</w:t>
      </w:r>
      <w:r w:rsidR="00D300D5" w:rsidRPr="00D300D5">
        <w:rPr>
          <w:rFonts w:eastAsia="Times New Roman" w:cstheme="minorHAnsi"/>
          <w:color w:val="202020"/>
          <w:shd w:val="clear" w:color="auto" w:fill="FFFFFF"/>
          <w:lang w:eastAsia="en-GB"/>
        </w:rPr>
        <w:t xml:space="preserve"> will be closely involved in locality commissioning from assessing needs of whānau, identifying priorities and monitoring service provision </w:t>
      </w:r>
    </w:p>
    <w:p w14:paraId="0806FE09" w14:textId="513F4695" w:rsidR="003870EE" w:rsidRPr="00692E5D" w:rsidRDefault="001C0485" w:rsidP="003870EE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692E5D">
        <w:rPr>
          <w:rFonts w:cstheme="minorHAnsi"/>
          <w:b/>
          <w:sz w:val="24"/>
          <w:szCs w:val="24"/>
        </w:rPr>
        <w:t>Purpose</w:t>
      </w:r>
    </w:p>
    <w:p w14:paraId="11B9E789" w14:textId="2DDE1265" w:rsidR="0071664A" w:rsidRDefault="0071664A" w:rsidP="00692E5D">
      <w:p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>
        <w:rPr>
          <w:rFonts w:eastAsia="Times New Roman" w:cstheme="minorHAnsi"/>
          <w:color w:val="264554"/>
          <w:lang w:eastAsia="en-GB"/>
        </w:rPr>
        <w:t>The c</w:t>
      </w:r>
      <w:r w:rsidR="00692E5D">
        <w:rPr>
          <w:rFonts w:eastAsia="Times New Roman" w:cstheme="minorHAnsi"/>
          <w:color w:val="264554"/>
          <w:lang w:eastAsia="en-GB"/>
        </w:rPr>
        <w:t xml:space="preserve">ore function of the </w:t>
      </w:r>
      <w:proofErr w:type="spellStart"/>
      <w:r w:rsidR="008B174B">
        <w:rPr>
          <w:rFonts w:eastAsia="Times New Roman" w:cstheme="minorHAnsi"/>
          <w:color w:val="264554"/>
          <w:lang w:eastAsia="en-GB"/>
        </w:rPr>
        <w:t>Ā</w:t>
      </w:r>
      <w:r>
        <w:rPr>
          <w:rFonts w:eastAsia="Times New Roman" w:cstheme="minorHAnsi"/>
          <w:color w:val="264554"/>
          <w:lang w:eastAsia="en-GB"/>
        </w:rPr>
        <w:t>tiawa</w:t>
      </w:r>
      <w:proofErr w:type="spellEnd"/>
      <w:r>
        <w:rPr>
          <w:rFonts w:eastAsia="Times New Roman" w:cstheme="minorHAnsi"/>
          <w:color w:val="264554"/>
          <w:lang w:eastAsia="en-GB"/>
        </w:rPr>
        <w:t xml:space="preserve"> Toa Hauora Partnership Board</w:t>
      </w:r>
      <w:r w:rsidR="00692E5D">
        <w:rPr>
          <w:rFonts w:eastAsia="Times New Roman" w:cstheme="minorHAnsi"/>
          <w:color w:val="264554"/>
          <w:lang w:eastAsia="en-GB"/>
        </w:rPr>
        <w:t xml:space="preserve"> </w:t>
      </w:r>
      <w:r>
        <w:rPr>
          <w:rFonts w:eastAsia="Times New Roman" w:cstheme="minorHAnsi"/>
          <w:color w:val="264554"/>
          <w:lang w:eastAsia="en-GB"/>
        </w:rPr>
        <w:t xml:space="preserve">is to work at a </w:t>
      </w:r>
      <w:r w:rsidRPr="0071664A">
        <w:rPr>
          <w:rFonts w:eastAsia="Times New Roman" w:cstheme="minorHAnsi"/>
          <w:color w:val="264554"/>
          <w:lang w:eastAsia="en-GB"/>
        </w:rPr>
        <w:t xml:space="preserve"> </w:t>
      </w:r>
      <w:r w:rsidRPr="0071664A">
        <w:rPr>
          <w:rFonts w:eastAsia="Times New Roman" w:cstheme="minorHAnsi"/>
          <w:color w:val="264554"/>
          <w:u w:val="single"/>
          <w:lang w:eastAsia="en-GB"/>
        </w:rPr>
        <w:t>strategic</w:t>
      </w:r>
      <w:r w:rsidRPr="0071664A">
        <w:rPr>
          <w:rFonts w:eastAsia="Times New Roman" w:cstheme="minorHAnsi"/>
          <w:color w:val="264554"/>
          <w:lang w:eastAsia="en-GB"/>
        </w:rPr>
        <w:t xml:space="preserve"> commissioning level </w:t>
      </w:r>
      <w:r>
        <w:rPr>
          <w:rFonts w:eastAsia="Times New Roman" w:cstheme="minorHAnsi"/>
          <w:color w:val="264554"/>
          <w:lang w:eastAsia="en-GB"/>
        </w:rPr>
        <w:t>to</w:t>
      </w:r>
      <w:r w:rsidRPr="0071664A">
        <w:rPr>
          <w:rFonts w:eastAsia="Times New Roman" w:cstheme="minorHAnsi"/>
          <w:color w:val="264554"/>
          <w:lang w:eastAsia="en-GB"/>
        </w:rPr>
        <w:t xml:space="preserve"> influenc</w:t>
      </w:r>
      <w:r>
        <w:rPr>
          <w:rFonts w:eastAsia="Times New Roman" w:cstheme="minorHAnsi"/>
          <w:color w:val="264554"/>
          <w:lang w:eastAsia="en-GB"/>
        </w:rPr>
        <w:t>e</w:t>
      </w:r>
      <w:r w:rsidRPr="0071664A">
        <w:rPr>
          <w:rFonts w:eastAsia="Times New Roman" w:cstheme="minorHAnsi"/>
          <w:color w:val="264554"/>
          <w:lang w:eastAsia="en-GB"/>
        </w:rPr>
        <w:t xml:space="preserve"> priorities, outcomes, and allocation of the overall locality budget into priority</w:t>
      </w:r>
      <w:r>
        <w:rPr>
          <w:rFonts w:eastAsia="Times New Roman" w:cstheme="minorHAnsi"/>
          <w:color w:val="264554"/>
          <w:lang w:eastAsia="en-GB"/>
        </w:rPr>
        <w:t xml:space="preserve"> areas.  The strategic commissioning role includes:</w:t>
      </w:r>
    </w:p>
    <w:p w14:paraId="06A72B1E" w14:textId="3718457D" w:rsidR="00FF1C54" w:rsidRPr="00FF1C54" w:rsidRDefault="00FF1C54" w:rsidP="00D300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 w:rsidRPr="00FF1C54">
        <w:rPr>
          <w:rFonts w:eastAsia="Times New Roman" w:cstheme="minorHAnsi"/>
          <w:color w:val="264554"/>
          <w:lang w:eastAsia="en-GB"/>
        </w:rPr>
        <w:t>engaging with </w:t>
      </w:r>
      <w:proofErr w:type="spellStart"/>
      <w:r w:rsidR="00E15A28">
        <w:rPr>
          <w:rFonts w:eastAsia="Times New Roman" w:cstheme="minorHAnsi"/>
          <w:color w:val="264554"/>
          <w:lang w:eastAsia="en-GB"/>
        </w:rPr>
        <w:t>wh</w:t>
      </w:r>
      <w:r w:rsidR="00414CE7">
        <w:rPr>
          <w:rFonts w:eastAsia="Times New Roman" w:cstheme="minorHAnsi"/>
          <w:color w:val="264554"/>
          <w:lang w:eastAsia="en-GB"/>
        </w:rPr>
        <w:t>ā</w:t>
      </w:r>
      <w:r w:rsidR="00E15A28">
        <w:rPr>
          <w:rFonts w:eastAsia="Times New Roman" w:cstheme="minorHAnsi"/>
          <w:color w:val="264554"/>
          <w:lang w:eastAsia="en-GB"/>
        </w:rPr>
        <w:t>nau</w:t>
      </w:r>
      <w:proofErr w:type="spellEnd"/>
      <w:r w:rsidRPr="00FF1C54">
        <w:rPr>
          <w:rFonts w:eastAsia="Times New Roman" w:cstheme="minorHAnsi"/>
          <w:color w:val="264554"/>
          <w:lang w:eastAsia="en-GB"/>
        </w:rPr>
        <w:t> and </w:t>
      </w:r>
      <w:proofErr w:type="spellStart"/>
      <w:r w:rsidRPr="00FF1C54">
        <w:rPr>
          <w:rFonts w:eastAsia="Times New Roman" w:cstheme="minorHAnsi"/>
          <w:color w:val="264554"/>
          <w:lang w:eastAsia="en-GB"/>
        </w:rPr>
        <w:t>hap</w:t>
      </w:r>
      <w:r w:rsidR="00E15A28">
        <w:rPr>
          <w:rFonts w:eastAsia="Times New Roman" w:cstheme="minorHAnsi"/>
          <w:color w:val="264554"/>
          <w:lang w:eastAsia="en-GB"/>
        </w:rPr>
        <w:t>u</w:t>
      </w:r>
      <w:proofErr w:type="spellEnd"/>
      <w:r w:rsidRPr="00FF1C54">
        <w:rPr>
          <w:rFonts w:eastAsia="Times New Roman" w:cstheme="minorHAnsi"/>
          <w:color w:val="264554"/>
          <w:lang w:eastAsia="en-GB"/>
        </w:rPr>
        <w:t>, and sharing the resulting insights and perspectives with the M</w:t>
      </w:r>
      <w:r w:rsidR="008B174B">
        <w:rPr>
          <w:rFonts w:eastAsia="Times New Roman" w:cstheme="minorHAnsi"/>
          <w:color w:val="264554"/>
          <w:lang w:eastAsia="en-GB"/>
        </w:rPr>
        <w:t>ā</w:t>
      </w:r>
      <w:r w:rsidRPr="00FF1C54">
        <w:rPr>
          <w:rFonts w:eastAsia="Times New Roman" w:cstheme="minorHAnsi"/>
          <w:color w:val="264554"/>
          <w:lang w:eastAsia="en-GB"/>
        </w:rPr>
        <w:t xml:space="preserve">ori Health Authority, </w:t>
      </w:r>
      <w:r w:rsidR="0094072D" w:rsidRPr="00FF1C54">
        <w:rPr>
          <w:rFonts w:eastAsia="Times New Roman" w:cstheme="minorHAnsi"/>
          <w:color w:val="264554"/>
          <w:lang w:eastAsia="en-GB"/>
        </w:rPr>
        <w:t xml:space="preserve">Health NZ </w:t>
      </w:r>
      <w:r w:rsidRPr="00FF1C54">
        <w:rPr>
          <w:rFonts w:eastAsia="Times New Roman" w:cstheme="minorHAnsi"/>
          <w:color w:val="264554"/>
          <w:lang w:eastAsia="en-GB"/>
        </w:rPr>
        <w:t>and the wider health system</w:t>
      </w:r>
    </w:p>
    <w:p w14:paraId="562DCC6E" w14:textId="04C55582" w:rsidR="00FF1C54" w:rsidRPr="00FF1C54" w:rsidRDefault="00FF1C54" w:rsidP="00D300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 w:rsidRPr="00FF1C54">
        <w:rPr>
          <w:rFonts w:eastAsia="Times New Roman" w:cstheme="minorHAnsi"/>
          <w:color w:val="264554"/>
          <w:lang w:eastAsia="en-GB"/>
        </w:rPr>
        <w:t>assessing and evaluating the current state of hauora M</w:t>
      </w:r>
      <w:r w:rsidR="00414CE7">
        <w:rPr>
          <w:rFonts w:eastAsia="Times New Roman" w:cstheme="minorHAnsi"/>
          <w:color w:val="264554"/>
          <w:lang w:eastAsia="en-GB"/>
        </w:rPr>
        <w:t>ā</w:t>
      </w:r>
      <w:r w:rsidRPr="00FF1C54">
        <w:rPr>
          <w:rFonts w:eastAsia="Times New Roman" w:cstheme="minorHAnsi"/>
          <w:color w:val="264554"/>
          <w:lang w:eastAsia="en-GB"/>
        </w:rPr>
        <w:t xml:space="preserve">ori in their locality or localities, and determine priorities for improving </w:t>
      </w:r>
      <w:proofErr w:type="spellStart"/>
      <w:r w:rsidRPr="00FF1C54">
        <w:rPr>
          <w:rFonts w:eastAsia="Times New Roman" w:cstheme="minorHAnsi"/>
          <w:color w:val="264554"/>
          <w:lang w:eastAsia="en-GB"/>
        </w:rPr>
        <w:t>hauora</w:t>
      </w:r>
      <w:proofErr w:type="spellEnd"/>
      <w:r w:rsidRPr="00FF1C54">
        <w:rPr>
          <w:rFonts w:eastAsia="Times New Roman" w:cstheme="minorHAnsi"/>
          <w:color w:val="264554"/>
          <w:lang w:eastAsia="en-GB"/>
        </w:rPr>
        <w:t xml:space="preserve"> M</w:t>
      </w:r>
      <w:r w:rsidR="00414CE7">
        <w:rPr>
          <w:rFonts w:eastAsia="Times New Roman" w:cstheme="minorHAnsi"/>
          <w:color w:val="264554"/>
          <w:lang w:eastAsia="en-GB"/>
        </w:rPr>
        <w:t>ā</w:t>
      </w:r>
      <w:r w:rsidRPr="00FF1C54">
        <w:rPr>
          <w:rFonts w:eastAsia="Times New Roman" w:cstheme="minorHAnsi"/>
          <w:color w:val="264554"/>
          <w:lang w:eastAsia="en-GB"/>
        </w:rPr>
        <w:t>ori</w:t>
      </w:r>
    </w:p>
    <w:p w14:paraId="36086A15" w14:textId="29068282" w:rsidR="00FF1C54" w:rsidRDefault="00D300D5" w:rsidP="00D300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>
        <w:rPr>
          <w:rFonts w:eastAsia="Times New Roman" w:cstheme="minorHAnsi"/>
          <w:color w:val="264554"/>
          <w:lang w:eastAsia="en-GB"/>
        </w:rPr>
        <w:t>agreeing on</w:t>
      </w:r>
      <w:r w:rsidR="00FF1C54" w:rsidRPr="00FF1C54">
        <w:rPr>
          <w:rFonts w:eastAsia="Times New Roman" w:cstheme="minorHAnsi"/>
          <w:color w:val="264554"/>
          <w:lang w:eastAsia="en-GB"/>
        </w:rPr>
        <w:t xml:space="preserve"> locality priorities and plans with the M</w:t>
      </w:r>
      <w:r w:rsidR="00272A1E">
        <w:rPr>
          <w:rFonts w:eastAsia="Times New Roman" w:cstheme="minorHAnsi"/>
          <w:color w:val="264554"/>
          <w:lang w:eastAsia="en-GB"/>
        </w:rPr>
        <w:t>ā</w:t>
      </w:r>
      <w:r w:rsidR="00FF1C54" w:rsidRPr="00FF1C54">
        <w:rPr>
          <w:rFonts w:eastAsia="Times New Roman" w:cstheme="minorHAnsi"/>
          <w:color w:val="264554"/>
          <w:lang w:eastAsia="en-GB"/>
        </w:rPr>
        <w:t>ori Health Authority</w:t>
      </w:r>
      <w:r w:rsidR="003870EE" w:rsidRPr="00AD3D73">
        <w:rPr>
          <w:rFonts w:eastAsia="Times New Roman" w:cstheme="minorHAnsi"/>
          <w:color w:val="264554"/>
          <w:lang w:eastAsia="en-GB"/>
        </w:rPr>
        <w:t xml:space="preserve"> and </w:t>
      </w:r>
      <w:r w:rsidR="003870EE" w:rsidRPr="00FF1C54">
        <w:rPr>
          <w:rFonts w:eastAsia="Times New Roman" w:cstheme="minorHAnsi"/>
          <w:color w:val="264554"/>
          <w:lang w:eastAsia="en-GB"/>
        </w:rPr>
        <w:t xml:space="preserve">Health NZ </w:t>
      </w:r>
    </w:p>
    <w:p w14:paraId="2249B91B" w14:textId="4431D478" w:rsidR="00D300D5" w:rsidRPr="00FF1C54" w:rsidRDefault="00D300D5" w:rsidP="00D300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 w:rsidRPr="00D300D5">
        <w:rPr>
          <w:rFonts w:eastAsia="Times New Roman" w:cstheme="minorHAnsi"/>
          <w:color w:val="264554"/>
          <w:lang w:eastAsia="en-GB"/>
        </w:rPr>
        <w:t>embed</w:t>
      </w:r>
      <w:r w:rsidR="00855963">
        <w:rPr>
          <w:rFonts w:eastAsia="Times New Roman" w:cstheme="minorHAnsi"/>
          <w:color w:val="264554"/>
          <w:lang w:eastAsia="en-GB"/>
        </w:rPr>
        <w:t>d</w:t>
      </w:r>
      <w:r w:rsidR="00E15A28">
        <w:rPr>
          <w:rFonts w:eastAsia="Times New Roman" w:cstheme="minorHAnsi"/>
          <w:color w:val="264554"/>
          <w:lang w:eastAsia="en-GB"/>
        </w:rPr>
        <w:t>ing</w:t>
      </w:r>
      <w:r w:rsidRPr="00D300D5">
        <w:rPr>
          <w:rFonts w:eastAsia="Times New Roman" w:cstheme="minorHAnsi"/>
          <w:color w:val="264554"/>
          <w:lang w:eastAsia="en-GB"/>
        </w:rPr>
        <w:t xml:space="preserve"> </w:t>
      </w:r>
      <w:proofErr w:type="spellStart"/>
      <w:r w:rsidRPr="00D300D5">
        <w:rPr>
          <w:rFonts w:eastAsia="Times New Roman" w:cstheme="minorHAnsi"/>
          <w:color w:val="264554"/>
          <w:lang w:eastAsia="en-GB"/>
        </w:rPr>
        <w:t>m</w:t>
      </w:r>
      <w:r w:rsidR="00E15A28">
        <w:rPr>
          <w:rFonts w:eastAsia="Times New Roman" w:cstheme="minorHAnsi"/>
          <w:color w:val="264554"/>
          <w:lang w:eastAsia="en-GB"/>
        </w:rPr>
        <w:t>a</w:t>
      </w:r>
      <w:r w:rsidRPr="00D300D5">
        <w:rPr>
          <w:rFonts w:eastAsia="Times New Roman" w:cstheme="minorHAnsi"/>
          <w:color w:val="264554"/>
          <w:lang w:eastAsia="en-GB"/>
        </w:rPr>
        <w:t>tauranga</w:t>
      </w:r>
      <w:proofErr w:type="spellEnd"/>
      <w:r w:rsidRPr="00D300D5">
        <w:rPr>
          <w:rFonts w:eastAsia="Times New Roman" w:cstheme="minorHAnsi"/>
          <w:color w:val="264554"/>
          <w:lang w:eastAsia="en-GB"/>
        </w:rPr>
        <w:t xml:space="preserve"> M</w:t>
      </w:r>
      <w:r w:rsidR="00272A1E">
        <w:rPr>
          <w:rFonts w:eastAsia="Times New Roman" w:cstheme="minorHAnsi"/>
          <w:color w:val="264554"/>
          <w:lang w:eastAsia="en-GB"/>
        </w:rPr>
        <w:t>ā</w:t>
      </w:r>
      <w:r w:rsidRPr="00D300D5">
        <w:rPr>
          <w:rFonts w:eastAsia="Times New Roman" w:cstheme="minorHAnsi"/>
          <w:color w:val="264554"/>
          <w:lang w:eastAsia="en-GB"/>
        </w:rPr>
        <w:t>ori within locality plans, which then influences regional and national planning</w:t>
      </w:r>
    </w:p>
    <w:p w14:paraId="7BDA8476" w14:textId="77777777" w:rsidR="00FF1C54" w:rsidRPr="00FF1C54" w:rsidRDefault="00FF1C54" w:rsidP="00D300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 w:rsidRPr="00FF1C54">
        <w:rPr>
          <w:rFonts w:eastAsia="Times New Roman" w:cstheme="minorHAnsi"/>
          <w:color w:val="264554"/>
          <w:lang w:eastAsia="en-GB"/>
        </w:rPr>
        <w:t>monitoring the performance of the health system in their locality or localities, including against the locality plan</w:t>
      </w:r>
    </w:p>
    <w:p w14:paraId="5BE8E6FF" w14:textId="4BFD32C5" w:rsidR="00705137" w:rsidRDefault="00FF1C54" w:rsidP="00D300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264554"/>
          <w:lang w:eastAsia="en-GB"/>
        </w:rPr>
      </w:pPr>
      <w:r w:rsidRPr="00FF1C54">
        <w:rPr>
          <w:rFonts w:eastAsia="Times New Roman" w:cstheme="minorHAnsi"/>
          <w:color w:val="264554"/>
          <w:lang w:eastAsia="en-GB"/>
        </w:rPr>
        <w:t xml:space="preserve">reporting on their own activities to </w:t>
      </w:r>
      <w:proofErr w:type="spellStart"/>
      <w:r w:rsidRPr="00FF1C54">
        <w:rPr>
          <w:rFonts w:eastAsia="Times New Roman" w:cstheme="minorHAnsi"/>
          <w:color w:val="264554"/>
          <w:lang w:eastAsia="en-GB"/>
        </w:rPr>
        <w:t>wh</w:t>
      </w:r>
      <w:r w:rsidR="00272A1E">
        <w:rPr>
          <w:rFonts w:eastAsia="Times New Roman" w:cstheme="minorHAnsi"/>
          <w:color w:val="264554"/>
          <w:lang w:eastAsia="en-GB"/>
        </w:rPr>
        <w:t>ā</w:t>
      </w:r>
      <w:r w:rsidRPr="00FF1C54">
        <w:rPr>
          <w:rFonts w:eastAsia="Times New Roman" w:cstheme="minorHAnsi"/>
          <w:color w:val="264554"/>
          <w:lang w:eastAsia="en-GB"/>
        </w:rPr>
        <w:t>nau</w:t>
      </w:r>
      <w:proofErr w:type="spellEnd"/>
      <w:r w:rsidRPr="00FF1C54">
        <w:rPr>
          <w:rFonts w:eastAsia="Times New Roman" w:cstheme="minorHAnsi"/>
          <w:color w:val="264554"/>
          <w:lang w:eastAsia="en-GB"/>
        </w:rPr>
        <w:t xml:space="preserve"> and </w:t>
      </w:r>
      <w:proofErr w:type="spellStart"/>
      <w:r w:rsidRPr="00FF1C54">
        <w:rPr>
          <w:rFonts w:eastAsia="Times New Roman" w:cstheme="minorHAnsi"/>
          <w:color w:val="264554"/>
          <w:lang w:eastAsia="en-GB"/>
        </w:rPr>
        <w:t>h</w:t>
      </w:r>
      <w:r w:rsidR="00E15A28">
        <w:rPr>
          <w:rFonts w:eastAsia="Times New Roman" w:cstheme="minorHAnsi"/>
          <w:color w:val="264554"/>
          <w:lang w:eastAsia="en-GB"/>
        </w:rPr>
        <w:t>a</w:t>
      </w:r>
      <w:r w:rsidRPr="00FF1C54">
        <w:rPr>
          <w:rFonts w:eastAsia="Times New Roman" w:cstheme="minorHAnsi"/>
          <w:color w:val="264554"/>
          <w:lang w:eastAsia="en-GB"/>
        </w:rPr>
        <w:t>pori</w:t>
      </w:r>
      <w:proofErr w:type="spellEnd"/>
      <w:r w:rsidRPr="00FF1C54">
        <w:rPr>
          <w:rFonts w:eastAsia="Times New Roman" w:cstheme="minorHAnsi"/>
          <w:color w:val="264554"/>
          <w:lang w:eastAsia="en-GB"/>
        </w:rPr>
        <w:t xml:space="preserve"> M</w:t>
      </w:r>
      <w:r w:rsidR="00272A1E">
        <w:rPr>
          <w:rFonts w:eastAsia="Times New Roman" w:cstheme="minorHAnsi"/>
          <w:color w:val="264554"/>
          <w:lang w:eastAsia="en-GB"/>
        </w:rPr>
        <w:t>ā</w:t>
      </w:r>
      <w:r w:rsidRPr="00FF1C54">
        <w:rPr>
          <w:rFonts w:eastAsia="Times New Roman" w:cstheme="minorHAnsi"/>
          <w:color w:val="264554"/>
          <w:lang w:eastAsia="en-GB"/>
        </w:rPr>
        <w:t>ori, and other relevant partners.</w:t>
      </w:r>
    </w:p>
    <w:p w14:paraId="4776528C" w14:textId="51EEA35C" w:rsidR="004B7BFC" w:rsidRPr="00692E5D" w:rsidRDefault="004B7BFC" w:rsidP="00E15A28">
      <w:pPr>
        <w:pStyle w:val="ListParagraph"/>
        <w:pBdr>
          <w:bottom w:val="single" w:sz="4" w:space="1" w:color="auto"/>
        </w:pBdr>
        <w:ind w:left="0"/>
        <w:rPr>
          <w:rFonts w:cstheme="minorHAnsi"/>
          <w:b/>
          <w:sz w:val="24"/>
          <w:szCs w:val="24"/>
        </w:rPr>
      </w:pPr>
      <w:r w:rsidRPr="00692E5D">
        <w:rPr>
          <w:rFonts w:cstheme="minorHAnsi"/>
          <w:b/>
          <w:sz w:val="24"/>
          <w:szCs w:val="24"/>
        </w:rPr>
        <w:t>Board Members are also required to</w:t>
      </w:r>
    </w:p>
    <w:p w14:paraId="29F7D603" w14:textId="77777777" w:rsidR="00692E5D" w:rsidRDefault="00692E5D" w:rsidP="00E15A28">
      <w:pPr>
        <w:pStyle w:val="ListParagraph"/>
        <w:spacing w:before="100" w:beforeAutospacing="1" w:after="100" w:afterAutospacing="1" w:line="360" w:lineRule="auto"/>
        <w:ind w:left="360"/>
        <w:rPr>
          <w:rFonts w:eastAsia="Times New Roman" w:cstheme="minorHAnsi"/>
          <w:color w:val="264554"/>
          <w:lang w:eastAsia="en-GB"/>
        </w:rPr>
      </w:pPr>
    </w:p>
    <w:p w14:paraId="0313AA3A" w14:textId="416D4B8E" w:rsidR="00AD3D73" w:rsidRPr="00692E5D" w:rsidRDefault="00AD3D73" w:rsidP="00E15A2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360"/>
        <w:rPr>
          <w:rFonts w:eastAsia="Times New Roman" w:cstheme="minorHAnsi"/>
          <w:color w:val="264554"/>
          <w:lang w:eastAsia="en-GB"/>
        </w:rPr>
      </w:pPr>
      <w:r w:rsidRPr="00692E5D">
        <w:rPr>
          <w:rFonts w:eastAsia="Times New Roman" w:cstheme="minorHAnsi"/>
          <w:color w:val="264554"/>
          <w:lang w:eastAsia="en-GB"/>
        </w:rPr>
        <w:t xml:space="preserve">Follow the policies and </w:t>
      </w:r>
      <w:r w:rsidR="00E15A28">
        <w:rPr>
          <w:rFonts w:eastAsia="Times New Roman" w:cstheme="minorHAnsi"/>
          <w:color w:val="264554"/>
          <w:lang w:eastAsia="en-GB"/>
        </w:rPr>
        <w:t>B</w:t>
      </w:r>
      <w:r w:rsidRPr="00692E5D">
        <w:rPr>
          <w:rFonts w:eastAsia="Times New Roman" w:cstheme="minorHAnsi"/>
          <w:color w:val="264554"/>
          <w:lang w:eastAsia="en-GB"/>
        </w:rPr>
        <w:t>oard resolutions</w:t>
      </w:r>
    </w:p>
    <w:p w14:paraId="160E0054" w14:textId="0B17E1B8" w:rsidR="00AD3D73" w:rsidRPr="00692E5D" w:rsidRDefault="00AD3D73" w:rsidP="00E15A2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360"/>
        <w:rPr>
          <w:rFonts w:eastAsia="Times New Roman" w:cstheme="minorHAnsi"/>
          <w:color w:val="264554"/>
          <w:lang w:eastAsia="en-GB"/>
        </w:rPr>
      </w:pPr>
      <w:r w:rsidRPr="00692E5D">
        <w:rPr>
          <w:rFonts w:eastAsia="Times New Roman" w:cstheme="minorHAnsi"/>
          <w:color w:val="264554"/>
          <w:lang w:eastAsia="en-GB"/>
        </w:rPr>
        <w:t>Sign an annual conflict of interest disc</w:t>
      </w:r>
      <w:r w:rsidR="004B7BFC" w:rsidRPr="00692E5D">
        <w:rPr>
          <w:rFonts w:eastAsia="Times New Roman" w:cstheme="minorHAnsi"/>
          <w:color w:val="264554"/>
          <w:lang w:eastAsia="en-GB"/>
        </w:rPr>
        <w:t>losure and update it during the year if necessary and disclose potential conflicts before meetings and actual conflicts during meetings</w:t>
      </w:r>
    </w:p>
    <w:p w14:paraId="5BCA511C" w14:textId="6E599D7C" w:rsidR="00AD3D73" w:rsidRPr="008C6C67" w:rsidRDefault="004B7BFC" w:rsidP="00E15A2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360"/>
        <w:rPr>
          <w:rFonts w:eastAsia="Times New Roman" w:cstheme="minorHAnsi"/>
          <w:color w:val="264554"/>
          <w:lang w:eastAsia="en-GB"/>
        </w:rPr>
      </w:pPr>
      <w:r w:rsidRPr="00692E5D">
        <w:rPr>
          <w:rFonts w:eastAsia="Times New Roman" w:cstheme="minorHAnsi"/>
          <w:color w:val="264554"/>
          <w:lang w:eastAsia="en-GB"/>
        </w:rPr>
        <w:t xml:space="preserve">Maintain confidentiality about all </w:t>
      </w:r>
      <w:r w:rsidR="008C6C67">
        <w:rPr>
          <w:rFonts w:eastAsia="Times New Roman" w:cstheme="minorHAnsi"/>
          <w:color w:val="264554"/>
          <w:lang w:eastAsia="en-GB"/>
        </w:rPr>
        <w:t xml:space="preserve">matters concerning Board </w:t>
      </w:r>
      <w:r w:rsidR="00793DDA">
        <w:rPr>
          <w:rFonts w:eastAsia="Times New Roman" w:cstheme="minorHAnsi"/>
          <w:color w:val="264554"/>
          <w:lang w:eastAsia="en-GB"/>
        </w:rPr>
        <w:t>matters</w:t>
      </w:r>
      <w:r w:rsidR="008C6C67">
        <w:rPr>
          <w:rFonts w:eastAsia="Times New Roman" w:cstheme="minorHAnsi"/>
          <w:color w:val="264554"/>
          <w:lang w:eastAsia="en-GB"/>
        </w:rPr>
        <w:t>.</w:t>
      </w:r>
    </w:p>
    <w:p w14:paraId="6A9BFCF6" w14:textId="798E1BB8" w:rsidR="00AD3D73" w:rsidRPr="00AD3D73" w:rsidRDefault="00AD3D73" w:rsidP="00E15A28">
      <w:pPr>
        <w:pBdr>
          <w:bottom w:val="single" w:sz="4" w:space="1" w:color="auto"/>
        </w:pBdr>
        <w:rPr>
          <w:rFonts w:cstheme="minorHAnsi"/>
          <w:b/>
        </w:rPr>
      </w:pPr>
      <w:r w:rsidRPr="00AD3D73">
        <w:rPr>
          <w:rFonts w:cstheme="minorHAnsi"/>
          <w:b/>
        </w:rPr>
        <w:lastRenderedPageBreak/>
        <w:t>Competencies and Attributes</w:t>
      </w:r>
    </w:p>
    <w:p w14:paraId="3D655966" w14:textId="2734C4C5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 xml:space="preserve">Understanding of Tikanga </w:t>
      </w:r>
      <w:r w:rsidR="00E15A28">
        <w:rPr>
          <w:rFonts w:cstheme="minorHAnsi"/>
          <w:lang w:val="en-US"/>
        </w:rPr>
        <w:t>and l</w:t>
      </w:r>
      <w:r w:rsidRPr="00692E5D">
        <w:rPr>
          <w:rFonts w:cstheme="minorHAnsi"/>
          <w:lang w:val="en-US"/>
        </w:rPr>
        <w:t xml:space="preserve">ived experience of </w:t>
      </w:r>
      <w:proofErr w:type="spellStart"/>
      <w:r w:rsidRPr="00692E5D">
        <w:rPr>
          <w:rFonts w:cstheme="minorHAnsi"/>
          <w:lang w:val="en-US"/>
        </w:rPr>
        <w:t>Te</w:t>
      </w:r>
      <w:proofErr w:type="spellEnd"/>
      <w:r w:rsidRPr="00692E5D">
        <w:rPr>
          <w:rFonts w:cstheme="minorHAnsi"/>
          <w:lang w:val="en-US"/>
        </w:rPr>
        <w:t xml:space="preserve"> </w:t>
      </w:r>
      <w:proofErr w:type="spellStart"/>
      <w:r w:rsidRPr="00692E5D">
        <w:rPr>
          <w:rFonts w:cstheme="minorHAnsi"/>
          <w:lang w:val="en-US"/>
        </w:rPr>
        <w:t>Ao</w:t>
      </w:r>
      <w:proofErr w:type="spellEnd"/>
      <w:r w:rsidRPr="00692E5D">
        <w:rPr>
          <w:rFonts w:cstheme="minorHAnsi"/>
          <w:lang w:val="en-US"/>
        </w:rPr>
        <w:t xml:space="preserve"> M</w:t>
      </w:r>
      <w:r w:rsidR="00272A1E">
        <w:rPr>
          <w:rFonts w:cstheme="minorHAnsi"/>
          <w:lang w:val="en-US"/>
        </w:rPr>
        <w:t>ā</w:t>
      </w:r>
      <w:r w:rsidRPr="00692E5D">
        <w:rPr>
          <w:rFonts w:cstheme="minorHAnsi"/>
          <w:lang w:val="en-US"/>
        </w:rPr>
        <w:t>ori</w:t>
      </w:r>
    </w:p>
    <w:p w14:paraId="7423792A" w14:textId="32C48D65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>Understanding of governance and the role of the I</w:t>
      </w:r>
      <w:r w:rsidR="00E15A28">
        <w:rPr>
          <w:rFonts w:cstheme="minorHAnsi"/>
          <w:lang w:val="en-US"/>
        </w:rPr>
        <w:t>wi</w:t>
      </w:r>
      <w:r w:rsidR="00272A1E">
        <w:rPr>
          <w:rFonts w:cstheme="minorHAnsi"/>
          <w:lang w:val="en-US"/>
        </w:rPr>
        <w:t>-</w:t>
      </w:r>
      <w:r w:rsidR="00E15A28">
        <w:rPr>
          <w:rFonts w:cstheme="minorHAnsi"/>
          <w:lang w:val="en-US"/>
        </w:rPr>
        <w:t>M</w:t>
      </w:r>
      <w:r w:rsidR="00272A1E">
        <w:rPr>
          <w:rFonts w:cstheme="minorHAnsi"/>
          <w:lang w:val="en-US"/>
        </w:rPr>
        <w:t>ā</w:t>
      </w:r>
      <w:r w:rsidR="00E15A28">
        <w:rPr>
          <w:rFonts w:cstheme="minorHAnsi"/>
          <w:lang w:val="en-US"/>
        </w:rPr>
        <w:t>ori Partnership Boards</w:t>
      </w:r>
      <w:r w:rsidRPr="00692E5D">
        <w:rPr>
          <w:rFonts w:cstheme="minorHAnsi"/>
          <w:lang w:val="en-US"/>
        </w:rPr>
        <w:t xml:space="preserve"> in the new health system</w:t>
      </w:r>
    </w:p>
    <w:p w14:paraId="0FEC3BAB" w14:textId="45D20314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>Experience in community engagement, widely known and active in the community, strong links with iwi, M</w:t>
      </w:r>
      <w:r w:rsidR="00272A1E">
        <w:rPr>
          <w:rFonts w:cstheme="minorHAnsi"/>
          <w:lang w:val="en-US"/>
        </w:rPr>
        <w:t>ā</w:t>
      </w:r>
      <w:r w:rsidRPr="00692E5D">
        <w:rPr>
          <w:rFonts w:cstheme="minorHAnsi"/>
          <w:lang w:val="en-US"/>
        </w:rPr>
        <w:t xml:space="preserve">ori health providers </w:t>
      </w:r>
      <w:r w:rsidR="00E15A28">
        <w:rPr>
          <w:rFonts w:cstheme="minorHAnsi"/>
          <w:lang w:val="en-US"/>
        </w:rPr>
        <w:t>and</w:t>
      </w:r>
      <w:r w:rsidRPr="00692E5D">
        <w:rPr>
          <w:rFonts w:cstheme="minorHAnsi"/>
          <w:lang w:val="en-US"/>
        </w:rPr>
        <w:t xml:space="preserve"> wider sectors </w:t>
      </w:r>
    </w:p>
    <w:p w14:paraId="74B9C8E3" w14:textId="4A9412C3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 xml:space="preserve">Experience in reviewing qualitative data, reports to identify trends and opportunities for </w:t>
      </w:r>
      <w:proofErr w:type="spellStart"/>
      <w:r w:rsidRPr="00692E5D">
        <w:rPr>
          <w:rFonts w:cstheme="minorHAnsi"/>
          <w:lang w:val="en-US"/>
        </w:rPr>
        <w:t>hapori</w:t>
      </w:r>
      <w:proofErr w:type="spellEnd"/>
      <w:r w:rsidRPr="00692E5D">
        <w:rPr>
          <w:rFonts w:cstheme="minorHAnsi"/>
          <w:lang w:val="en-US"/>
        </w:rPr>
        <w:t xml:space="preserve"> M</w:t>
      </w:r>
      <w:r w:rsidR="00272A1E">
        <w:rPr>
          <w:rFonts w:cstheme="minorHAnsi"/>
          <w:lang w:val="en-US"/>
        </w:rPr>
        <w:t>ā</w:t>
      </w:r>
      <w:r w:rsidRPr="00692E5D">
        <w:rPr>
          <w:rFonts w:cstheme="minorHAnsi"/>
          <w:lang w:val="en-US"/>
        </w:rPr>
        <w:t xml:space="preserve">ori and </w:t>
      </w:r>
      <w:proofErr w:type="spellStart"/>
      <w:r w:rsidRPr="00692E5D">
        <w:rPr>
          <w:rFonts w:cstheme="minorHAnsi"/>
          <w:lang w:val="en-US"/>
        </w:rPr>
        <w:t>wh</w:t>
      </w:r>
      <w:r w:rsidR="00272A1E">
        <w:rPr>
          <w:rFonts w:cstheme="minorHAnsi"/>
          <w:lang w:val="en-US"/>
        </w:rPr>
        <w:t>ā</w:t>
      </w:r>
      <w:r w:rsidRPr="00692E5D">
        <w:rPr>
          <w:rFonts w:cstheme="minorHAnsi"/>
          <w:lang w:val="en-US"/>
        </w:rPr>
        <w:t>nau</w:t>
      </w:r>
      <w:proofErr w:type="spellEnd"/>
    </w:p>
    <w:p w14:paraId="165CAE65" w14:textId="77777777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>Strong financial acumen and decision making</w:t>
      </w:r>
    </w:p>
    <w:p w14:paraId="7C9B0AF7" w14:textId="77777777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>All members can confidently use technology (including communication technology)</w:t>
      </w:r>
    </w:p>
    <w:p w14:paraId="6300A15C" w14:textId="5578C74E" w:rsidR="00AD3D73" w:rsidRPr="00692E5D" w:rsidRDefault="00AD3D73" w:rsidP="00E15A28">
      <w:pPr>
        <w:pStyle w:val="ListParagraph"/>
        <w:numPr>
          <w:ilvl w:val="0"/>
          <w:numId w:val="9"/>
        </w:numPr>
        <w:spacing w:line="360" w:lineRule="auto"/>
        <w:ind w:left="360"/>
        <w:rPr>
          <w:rFonts w:cstheme="minorHAnsi"/>
        </w:rPr>
      </w:pPr>
      <w:r w:rsidRPr="00692E5D">
        <w:rPr>
          <w:rFonts w:cstheme="minorHAnsi"/>
          <w:lang w:val="en-US"/>
        </w:rPr>
        <w:t>Clear understanding of the working relationship required with MHA and HNZ</w:t>
      </w:r>
      <w:r w:rsidR="00E15A28">
        <w:rPr>
          <w:rFonts w:cstheme="minorHAnsi"/>
          <w:lang w:val="en-US"/>
        </w:rPr>
        <w:t>.</w:t>
      </w:r>
    </w:p>
    <w:p w14:paraId="26233B15" w14:textId="5CC89C26" w:rsidR="004B7BFC" w:rsidRPr="00AD3D73" w:rsidRDefault="004B7BFC" w:rsidP="00E15A28">
      <w:pPr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Time Commitment and Term</w:t>
      </w:r>
    </w:p>
    <w:p w14:paraId="40AAC879" w14:textId="08A42E7C" w:rsidR="004B7BFC" w:rsidRDefault="00272A1E" w:rsidP="00E15A28">
      <w:p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Ā</w:t>
      </w:r>
      <w:r w:rsidR="00385A85" w:rsidRPr="008C6C67">
        <w:rPr>
          <w:rFonts w:cstheme="minorHAnsi"/>
        </w:rPr>
        <w:t>tiawa</w:t>
      </w:r>
      <w:proofErr w:type="spellEnd"/>
      <w:r w:rsidR="00385A85" w:rsidRPr="008C6C67">
        <w:rPr>
          <w:rFonts w:cstheme="minorHAnsi"/>
        </w:rPr>
        <w:t xml:space="preserve"> Toa Hauora Partnership Board members will serve a </w:t>
      </w:r>
      <w:r w:rsidR="00793DDA">
        <w:rPr>
          <w:rFonts w:cstheme="minorHAnsi"/>
        </w:rPr>
        <w:t>term of</w:t>
      </w:r>
      <w:r w:rsidR="00B26053">
        <w:rPr>
          <w:rFonts w:cstheme="minorHAnsi"/>
        </w:rPr>
        <w:t xml:space="preserve"> 12 months </w:t>
      </w:r>
      <w:r w:rsidR="00793DDA">
        <w:rPr>
          <w:rFonts w:cstheme="minorHAnsi"/>
        </w:rPr>
        <w:t xml:space="preserve"> </w:t>
      </w:r>
      <w:r w:rsidR="00385A85" w:rsidRPr="008C6C67">
        <w:rPr>
          <w:rFonts w:cstheme="minorHAnsi"/>
        </w:rPr>
        <w:t xml:space="preserve"> to be eligible for re-appointment</w:t>
      </w:r>
      <w:r w:rsidR="00B26053">
        <w:rPr>
          <w:rFonts w:cstheme="minorHAnsi"/>
        </w:rPr>
        <w:t xml:space="preserve">. </w:t>
      </w:r>
      <w:r w:rsidR="00793DDA">
        <w:rPr>
          <w:rFonts w:cstheme="minorHAnsi"/>
        </w:rPr>
        <w:t xml:space="preserve">Initially </w:t>
      </w:r>
      <w:r w:rsidR="00385A85" w:rsidRPr="008C6C67">
        <w:rPr>
          <w:rFonts w:cstheme="minorHAnsi"/>
        </w:rPr>
        <w:t>Board meeting</w:t>
      </w:r>
      <w:r w:rsidR="00793DDA">
        <w:rPr>
          <w:rFonts w:cstheme="minorHAnsi"/>
        </w:rPr>
        <w:t>s</w:t>
      </w:r>
      <w:r w:rsidR="00385A85" w:rsidRPr="008C6C67">
        <w:rPr>
          <w:rFonts w:cstheme="minorHAnsi"/>
        </w:rPr>
        <w:t xml:space="preserve"> will be held </w:t>
      </w:r>
      <w:r w:rsidR="00793DDA">
        <w:rPr>
          <w:rFonts w:cstheme="minorHAnsi"/>
        </w:rPr>
        <w:t>fortnightly and will require a time commitment of one day which includes preparing for the meeting and the meeting time.</w:t>
      </w:r>
      <w:r w:rsidR="00385A85" w:rsidRPr="008C6C67">
        <w:rPr>
          <w:rFonts w:cstheme="minorHAnsi"/>
        </w:rPr>
        <w:t xml:space="preserve"> </w:t>
      </w:r>
      <w:r w:rsidR="00793DDA">
        <w:rPr>
          <w:rFonts w:cstheme="minorHAnsi"/>
        </w:rPr>
        <w:t xml:space="preserve">  This time commitment will be reviewed after six months.</w:t>
      </w:r>
    </w:p>
    <w:p w14:paraId="013EEE14" w14:textId="0A3A0A69" w:rsidR="004B7BFC" w:rsidRPr="00AD3D73" w:rsidRDefault="004B7BFC" w:rsidP="00E15A28">
      <w:pPr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Remuneration</w:t>
      </w:r>
    </w:p>
    <w:p w14:paraId="602F28F0" w14:textId="6810FB80" w:rsidR="00D300D5" w:rsidRDefault="00793DDA" w:rsidP="00793DD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Board members will be remunerated and </w:t>
      </w:r>
      <w:r w:rsidR="00DC2E4A">
        <w:rPr>
          <w:rFonts w:cstheme="minorHAnsi"/>
        </w:rPr>
        <w:t xml:space="preserve">the remuneration </w:t>
      </w:r>
      <w:r>
        <w:rPr>
          <w:rFonts w:cstheme="minorHAnsi"/>
        </w:rPr>
        <w:t xml:space="preserve">will be confirmed </w:t>
      </w:r>
      <w:r w:rsidR="00DC2E4A">
        <w:rPr>
          <w:rFonts w:cstheme="minorHAnsi"/>
        </w:rPr>
        <w:t xml:space="preserve">in </w:t>
      </w:r>
      <w:r w:rsidR="00B26053">
        <w:rPr>
          <w:rFonts w:cstheme="minorHAnsi"/>
        </w:rPr>
        <w:t>Feb</w:t>
      </w:r>
      <w:r w:rsidR="00DC2E4A">
        <w:rPr>
          <w:rFonts w:cstheme="minorHAnsi"/>
        </w:rPr>
        <w:t xml:space="preserve">ruary </w:t>
      </w:r>
      <w:r w:rsidR="00B26053">
        <w:rPr>
          <w:rFonts w:cstheme="minorHAnsi"/>
        </w:rPr>
        <w:t>2022</w:t>
      </w:r>
      <w:r w:rsidR="00DC2E4A">
        <w:rPr>
          <w:rFonts w:cstheme="minorHAnsi"/>
        </w:rPr>
        <w:t>.</w:t>
      </w:r>
      <w:r w:rsidR="00B26053">
        <w:rPr>
          <w:rFonts w:cstheme="minorHAnsi"/>
        </w:rPr>
        <w:t xml:space="preserve"> </w:t>
      </w:r>
    </w:p>
    <w:p w14:paraId="5A9C4F96" w14:textId="24BC0A9E" w:rsidR="00D300D5" w:rsidRDefault="00D300D5" w:rsidP="00E15A28">
      <w:pPr>
        <w:spacing w:line="360" w:lineRule="auto"/>
        <w:rPr>
          <w:rFonts w:cstheme="minorHAnsi"/>
        </w:rPr>
      </w:pPr>
    </w:p>
    <w:p w14:paraId="0215F616" w14:textId="62585689" w:rsidR="0071664A" w:rsidRPr="00AD3D73" w:rsidRDefault="0071664A" w:rsidP="00E15A28">
      <w:pPr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Administrative Support</w:t>
      </w:r>
    </w:p>
    <w:p w14:paraId="5CF021BE" w14:textId="6D6D90EF" w:rsidR="0071664A" w:rsidRDefault="00793DDA" w:rsidP="00E15A2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272A1E">
        <w:rPr>
          <w:rFonts w:cstheme="minorHAnsi"/>
        </w:rPr>
        <w:t>Ā</w:t>
      </w:r>
      <w:r>
        <w:rPr>
          <w:rFonts w:cstheme="minorHAnsi"/>
        </w:rPr>
        <w:t xml:space="preserve">tiawa Toa Hauora Partnership Board will be supported by a Board secretariat </w:t>
      </w:r>
      <w:r w:rsidR="002C1720">
        <w:rPr>
          <w:rFonts w:cstheme="minorHAnsi"/>
        </w:rPr>
        <w:t>to manage the administrative activities of the Board.</w:t>
      </w:r>
    </w:p>
    <w:p w14:paraId="75336A70" w14:textId="50874831" w:rsidR="00793DDA" w:rsidRDefault="00793DDA" w:rsidP="00E15A28">
      <w:pPr>
        <w:spacing w:line="360" w:lineRule="auto"/>
        <w:rPr>
          <w:rFonts w:cstheme="minorHAnsi"/>
        </w:rPr>
      </w:pPr>
    </w:p>
    <w:p w14:paraId="70E9633A" w14:textId="77777777" w:rsidR="00793DDA" w:rsidRPr="004B7BFC" w:rsidRDefault="00793DDA" w:rsidP="00E15A28">
      <w:pPr>
        <w:spacing w:line="360" w:lineRule="auto"/>
        <w:rPr>
          <w:rFonts w:cstheme="minorHAnsi"/>
        </w:rPr>
      </w:pPr>
    </w:p>
    <w:sectPr w:rsidR="00793DDA" w:rsidRPr="004B7BFC" w:rsidSect="009116D0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3B97" w14:textId="77777777" w:rsidR="00096448" w:rsidRDefault="00096448" w:rsidP="00040804">
      <w:pPr>
        <w:spacing w:after="0" w:line="240" w:lineRule="auto"/>
      </w:pPr>
      <w:r>
        <w:separator/>
      </w:r>
    </w:p>
  </w:endnote>
  <w:endnote w:type="continuationSeparator" w:id="0">
    <w:p w14:paraId="0345F9D8" w14:textId="77777777" w:rsidR="00096448" w:rsidRDefault="00096448" w:rsidP="000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Quire Sans Pro Light">
    <w:panose1 w:val="020B0302040400020003"/>
    <w:charset w:val="00"/>
    <w:family w:val="swiss"/>
    <w:pitch w:val="variable"/>
    <w:sig w:usb0="8000002F" w:usb1="0000000A" w:usb2="00000000" w:usb3="00000000" w:csb0="00000001" w:csb1="00000000"/>
  </w:font>
  <w:font w:name="Arial Mäori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786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D994B64" w14:textId="77777777" w:rsidR="00BA17D0" w:rsidRPr="00BA17D0" w:rsidRDefault="00966A1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02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CEE22BB" w14:textId="77777777" w:rsidR="00040804" w:rsidRDefault="00040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AA5B" w14:textId="77777777" w:rsidR="00096448" w:rsidRDefault="00096448" w:rsidP="00040804">
      <w:pPr>
        <w:spacing w:after="0" w:line="240" w:lineRule="auto"/>
      </w:pPr>
      <w:r>
        <w:separator/>
      </w:r>
    </w:p>
  </w:footnote>
  <w:footnote w:type="continuationSeparator" w:id="0">
    <w:p w14:paraId="5AFB3B42" w14:textId="77777777" w:rsidR="00096448" w:rsidRDefault="00096448" w:rsidP="0004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045"/>
    <w:multiLevelType w:val="multilevel"/>
    <w:tmpl w:val="3752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B3BC4"/>
    <w:multiLevelType w:val="hybridMultilevel"/>
    <w:tmpl w:val="0D781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0F2"/>
    <w:multiLevelType w:val="hybridMultilevel"/>
    <w:tmpl w:val="871A58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A1DC0"/>
    <w:multiLevelType w:val="hybridMultilevel"/>
    <w:tmpl w:val="00482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C46"/>
    <w:multiLevelType w:val="multilevel"/>
    <w:tmpl w:val="5CE08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6EE53F4"/>
    <w:multiLevelType w:val="hybridMultilevel"/>
    <w:tmpl w:val="0CCAF9CC"/>
    <w:lvl w:ilvl="0" w:tplc="B56A237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6E72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A6A88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4AAC2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A4ACA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025D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D2887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C05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064A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CA50E84"/>
    <w:multiLevelType w:val="multilevel"/>
    <w:tmpl w:val="22F6C31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94" w:hanging="360"/>
      </w:pPr>
      <w:rPr>
        <w:rFonts w:ascii="Arial" w:eastAsia="Times New Roman" w:hAnsi="Arial" w:cs="Arial"/>
        <w:i w:val="0"/>
      </w:rPr>
    </w:lvl>
    <w:lvl w:ilvl="2">
      <w:start w:val="1"/>
      <w:numFmt w:val="lowerRoman"/>
      <w:lvlText w:val="%3)"/>
      <w:lvlJc w:val="left"/>
      <w:pPr>
        <w:ind w:left="65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4" w:hanging="360"/>
      </w:pPr>
      <w:rPr>
        <w:rFonts w:hint="default"/>
      </w:rPr>
    </w:lvl>
  </w:abstractNum>
  <w:abstractNum w:abstractNumId="7" w15:restartNumberingAfterBreak="0">
    <w:nsid w:val="36341EC3"/>
    <w:multiLevelType w:val="hybridMultilevel"/>
    <w:tmpl w:val="9A5EA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5244"/>
    <w:multiLevelType w:val="hybridMultilevel"/>
    <w:tmpl w:val="73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07D8"/>
    <w:multiLevelType w:val="hybridMultilevel"/>
    <w:tmpl w:val="5956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7929"/>
    <w:multiLevelType w:val="hybridMultilevel"/>
    <w:tmpl w:val="F4449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E47B9"/>
    <w:multiLevelType w:val="hybridMultilevel"/>
    <w:tmpl w:val="96527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27B6"/>
    <w:multiLevelType w:val="multilevel"/>
    <w:tmpl w:val="5CE08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B844E76"/>
    <w:multiLevelType w:val="hybridMultilevel"/>
    <w:tmpl w:val="A926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5"/>
    <w:rsid w:val="00040804"/>
    <w:rsid w:val="0008738C"/>
    <w:rsid w:val="00096448"/>
    <w:rsid w:val="000C206B"/>
    <w:rsid w:val="00151BA5"/>
    <w:rsid w:val="00170FC7"/>
    <w:rsid w:val="00181AAD"/>
    <w:rsid w:val="0018537D"/>
    <w:rsid w:val="00195F11"/>
    <w:rsid w:val="001C0485"/>
    <w:rsid w:val="001E29A3"/>
    <w:rsid w:val="001F41C1"/>
    <w:rsid w:val="001F4BA7"/>
    <w:rsid w:val="00272A1E"/>
    <w:rsid w:val="00297D92"/>
    <w:rsid w:val="002B1DBB"/>
    <w:rsid w:val="002B61F0"/>
    <w:rsid w:val="002C1720"/>
    <w:rsid w:val="0037110C"/>
    <w:rsid w:val="003719E9"/>
    <w:rsid w:val="00385A85"/>
    <w:rsid w:val="003870EE"/>
    <w:rsid w:val="003C0FFE"/>
    <w:rsid w:val="003D7AB2"/>
    <w:rsid w:val="003F3A95"/>
    <w:rsid w:val="00414CE7"/>
    <w:rsid w:val="00437FEE"/>
    <w:rsid w:val="004A6659"/>
    <w:rsid w:val="004B7BFC"/>
    <w:rsid w:val="00507448"/>
    <w:rsid w:val="00535299"/>
    <w:rsid w:val="00580FDA"/>
    <w:rsid w:val="005F4EC4"/>
    <w:rsid w:val="006544F9"/>
    <w:rsid w:val="00692E5D"/>
    <w:rsid w:val="006E5B0D"/>
    <w:rsid w:val="006F096D"/>
    <w:rsid w:val="007001D4"/>
    <w:rsid w:val="00705137"/>
    <w:rsid w:val="0071237E"/>
    <w:rsid w:val="0071664A"/>
    <w:rsid w:val="00765710"/>
    <w:rsid w:val="00793DDA"/>
    <w:rsid w:val="007D6532"/>
    <w:rsid w:val="00801B07"/>
    <w:rsid w:val="0083054D"/>
    <w:rsid w:val="00855963"/>
    <w:rsid w:val="00896D26"/>
    <w:rsid w:val="008B174B"/>
    <w:rsid w:val="008C6C67"/>
    <w:rsid w:val="009116D0"/>
    <w:rsid w:val="0091178F"/>
    <w:rsid w:val="0094072D"/>
    <w:rsid w:val="00942093"/>
    <w:rsid w:val="00966A1D"/>
    <w:rsid w:val="009C27A5"/>
    <w:rsid w:val="009D0E04"/>
    <w:rsid w:val="00A4407B"/>
    <w:rsid w:val="00AA02BF"/>
    <w:rsid w:val="00AD3D73"/>
    <w:rsid w:val="00AE2B78"/>
    <w:rsid w:val="00B03816"/>
    <w:rsid w:val="00B26053"/>
    <w:rsid w:val="00BA17D0"/>
    <w:rsid w:val="00BB6EBB"/>
    <w:rsid w:val="00BC0FB2"/>
    <w:rsid w:val="00BC4A29"/>
    <w:rsid w:val="00BF30E6"/>
    <w:rsid w:val="00BF3402"/>
    <w:rsid w:val="00C15571"/>
    <w:rsid w:val="00C20C7E"/>
    <w:rsid w:val="00CE4CA8"/>
    <w:rsid w:val="00CE7BE8"/>
    <w:rsid w:val="00D300D5"/>
    <w:rsid w:val="00D422C5"/>
    <w:rsid w:val="00DC2E4A"/>
    <w:rsid w:val="00DD356E"/>
    <w:rsid w:val="00E15A28"/>
    <w:rsid w:val="00E4165C"/>
    <w:rsid w:val="00E60B9D"/>
    <w:rsid w:val="00E76A7D"/>
    <w:rsid w:val="00EF70C2"/>
    <w:rsid w:val="00F019D7"/>
    <w:rsid w:val="00F158CD"/>
    <w:rsid w:val="00F53AC5"/>
    <w:rsid w:val="00F612E2"/>
    <w:rsid w:val="00FE2F02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029AC"/>
  <w15:docId w15:val="{58FE19AF-DC97-D543-9132-71A041D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04"/>
  </w:style>
  <w:style w:type="paragraph" w:styleId="Footer">
    <w:name w:val="footer"/>
    <w:basedOn w:val="Normal"/>
    <w:link w:val="FooterChar"/>
    <w:uiPriority w:val="99"/>
    <w:unhideWhenUsed/>
    <w:rsid w:val="000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04"/>
  </w:style>
  <w:style w:type="paragraph" w:styleId="BalloonText">
    <w:name w:val="Balloon Text"/>
    <w:basedOn w:val="Normal"/>
    <w:link w:val="BalloonTextChar"/>
    <w:uiPriority w:val="99"/>
    <w:semiHidden/>
    <w:unhideWhenUsed/>
    <w:rsid w:val="00B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37"/>
    <w:pPr>
      <w:ind w:left="720"/>
      <w:contextualSpacing/>
    </w:pPr>
  </w:style>
  <w:style w:type="paragraph" w:customStyle="1" w:styleId="Default">
    <w:name w:val="Default"/>
    <w:rsid w:val="00AD3D73"/>
    <w:pPr>
      <w:autoSpaceDE w:val="0"/>
      <w:autoSpaceDN w:val="0"/>
      <w:adjustRightInd w:val="0"/>
      <w:spacing w:after="0" w:line="240" w:lineRule="auto"/>
    </w:pPr>
    <w:rPr>
      <w:rFonts w:ascii="Roboto Lt" w:hAnsi="Roboto Lt" w:cs="Roboto Lt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AD3D7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D3D73"/>
    <w:rPr>
      <w:rFonts w:cs="Roboto Lt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AD3D7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3D73"/>
    <w:rPr>
      <w:rFonts w:ascii="Quire Sans Pro Light" w:hAnsi="Quire Sans Pro Light" w:cs="Quire Sans Pro Light"/>
      <w:color w:val="000000"/>
      <w:sz w:val="22"/>
      <w:szCs w:val="22"/>
    </w:rPr>
  </w:style>
  <w:style w:type="paragraph" w:customStyle="1" w:styleId="ReportBody">
    <w:name w:val="Report Body"/>
    <w:basedOn w:val="Normal"/>
    <w:rsid w:val="00D300D5"/>
    <w:pPr>
      <w:tabs>
        <w:tab w:val="num" w:pos="493"/>
      </w:tabs>
      <w:spacing w:before="240" w:after="0" w:line="260" w:lineRule="exact"/>
      <w:ind w:left="493" w:hanging="493"/>
      <w:jc w:val="both"/>
    </w:pPr>
    <w:rPr>
      <w:rFonts w:ascii="Arial Mäori" w:eastAsia="Times New Roman" w:hAnsi="Arial Mäori" w:cs="Times New Roman"/>
      <w:kern w:val="22"/>
    </w:rPr>
  </w:style>
  <w:style w:type="paragraph" w:customStyle="1" w:styleId="CabStandard">
    <w:name w:val="CabStandard"/>
    <w:basedOn w:val="Normal"/>
    <w:rsid w:val="00D300D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normaltextrun">
    <w:name w:val="normaltextrun"/>
    <w:basedOn w:val="DefaultParagraphFont"/>
    <w:rsid w:val="00D300D5"/>
  </w:style>
  <w:style w:type="character" w:customStyle="1" w:styleId="eop">
    <w:name w:val="eop"/>
    <w:basedOn w:val="DefaultParagraphFont"/>
    <w:rsid w:val="00D300D5"/>
  </w:style>
  <w:style w:type="paragraph" w:styleId="NormalWeb">
    <w:name w:val="Normal (Web)"/>
    <w:basedOn w:val="Normal"/>
    <w:uiPriority w:val="99"/>
    <w:unhideWhenUsed/>
    <w:rsid w:val="001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Foundation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Wikaire</dc:creator>
  <cp:lastModifiedBy>atahaia</cp:lastModifiedBy>
  <cp:revision>3</cp:revision>
  <dcterms:created xsi:type="dcterms:W3CDTF">2022-01-04T21:47:00Z</dcterms:created>
  <dcterms:modified xsi:type="dcterms:W3CDTF">2022-01-06T20:53:00Z</dcterms:modified>
</cp:coreProperties>
</file>